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95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tbl>
      <w:tblPr>
        <w:tblW w:w="144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7"/>
        <w:gridCol w:w="4785"/>
      </w:tblGrid>
      <w:tr w:rsidR="00285C95" w:rsidTr="004E228C">
        <w:trPr>
          <w:cantSplit/>
        </w:trPr>
        <w:tc>
          <w:tcPr>
            <w:tcW w:w="9707" w:type="dxa"/>
          </w:tcPr>
          <w:tbl>
            <w:tblPr>
              <w:tblW w:w="9465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80"/>
              <w:gridCol w:w="1838"/>
              <w:gridCol w:w="839"/>
              <w:gridCol w:w="2108"/>
            </w:tblGrid>
            <w:tr w:rsidR="00285C95" w:rsidRPr="00285C95" w:rsidTr="004E228C">
              <w:tc>
                <w:tcPr>
                  <w:tcW w:w="9461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 Е Ш Е Н И Е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 О В Е ТА   Д Е П У Т А Т О В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ПРИДОЛИННЫЙ    СЕЛЬСОВЕТ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 Р Е Н Б У Р Г С К О Й    О Б Л А С Т И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8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Четвертого созыва</w:t>
                  </w:r>
                </w:p>
                <w:p w:rsidR="00285C95" w:rsidRPr="003E7869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85C95" w:rsidRPr="00285C95" w:rsidTr="004E228C">
              <w:tc>
                <w:tcPr>
                  <w:tcW w:w="9461" w:type="dxa"/>
                  <w:gridSpan w:val="4"/>
                </w:tcPr>
                <w:p w:rsidR="00285C95" w:rsidRPr="003E7869" w:rsidRDefault="00285C95" w:rsidP="004E228C">
                  <w:pPr>
                    <w:tabs>
                      <w:tab w:val="left" w:pos="1728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5C95" w:rsidRPr="00285C95" w:rsidTr="004E228C">
              <w:trPr>
                <w:cantSplit/>
              </w:trPr>
              <w:tc>
                <w:tcPr>
                  <w:tcW w:w="4678" w:type="dxa"/>
                </w:tcPr>
                <w:p w:rsidR="00285C95" w:rsidRPr="00285C95" w:rsidRDefault="00285C95" w:rsidP="004E228C">
                  <w:pPr>
                    <w:ind w:right="-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85C95" w:rsidRPr="00285C95" w:rsidRDefault="00C86037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21.06.2021</w:t>
                  </w:r>
                </w:p>
              </w:tc>
              <w:tc>
                <w:tcPr>
                  <w:tcW w:w="839" w:type="dxa"/>
                  <w:hideMark/>
                </w:tcPr>
                <w:p w:rsidR="00285C95" w:rsidRPr="00285C95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5C95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85C95" w:rsidRPr="00285C95" w:rsidRDefault="00285C95" w:rsidP="004E228C">
                  <w:pPr>
                    <w:ind w:right="-1"/>
                    <w:jc w:val="center"/>
                    <w:rPr>
                      <w:rFonts w:ascii="Times New Roman" w:hAnsi="Times New Roman" w:cs="Times New Roman"/>
                    </w:rPr>
                  </w:pPr>
                  <w:r w:rsidRPr="00285C95">
                    <w:rPr>
                      <w:rFonts w:ascii="Times New Roman" w:hAnsi="Times New Roman" w:cs="Times New Roman"/>
                    </w:rPr>
                    <w:t>10/</w:t>
                  </w:r>
                  <w:r w:rsidR="003E7869">
                    <w:rPr>
                      <w:rFonts w:ascii="Times New Roman" w:hAnsi="Times New Roman" w:cs="Times New Roman"/>
                    </w:rPr>
                    <w:t>31</w:t>
                  </w:r>
                  <w:r w:rsidRPr="00285C95">
                    <w:rPr>
                      <w:rFonts w:ascii="Times New Roman" w:hAnsi="Times New Roman" w:cs="Times New Roman"/>
                    </w:rPr>
                    <w:t>-рс</w:t>
                  </w:r>
                </w:p>
              </w:tc>
            </w:tr>
          </w:tbl>
          <w:p w:rsidR="00285C95" w:rsidRDefault="00285C95" w:rsidP="004E228C">
            <w:pPr>
              <w:jc w:val="center"/>
            </w:pPr>
          </w:p>
        </w:tc>
        <w:tc>
          <w:tcPr>
            <w:tcW w:w="4785" w:type="dxa"/>
          </w:tcPr>
          <w:p w:rsidR="00285C95" w:rsidRDefault="00285C95" w:rsidP="004E228C">
            <w:pPr>
              <w:pStyle w:val="24"/>
              <w:rPr>
                <w:sz w:val="24"/>
                <w:szCs w:val="24"/>
              </w:rPr>
            </w:pPr>
          </w:p>
        </w:tc>
      </w:tr>
    </w:tbl>
    <w:p w:rsidR="00285C95" w:rsidRDefault="00285C95" w:rsidP="00285C95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p w:rsidR="003E7869" w:rsidRPr="003E7869" w:rsidRDefault="003E7869" w:rsidP="003E7869">
      <w:pPr>
        <w:pStyle w:val="20"/>
        <w:shd w:val="clear" w:color="auto" w:fill="auto"/>
        <w:tabs>
          <w:tab w:val="left" w:pos="2570"/>
        </w:tabs>
        <w:spacing w:line="240" w:lineRule="auto"/>
        <w:ind w:left="40" w:right="4920"/>
        <w:rPr>
          <w:b w:val="0"/>
          <w:sz w:val="28"/>
          <w:szCs w:val="28"/>
        </w:rPr>
      </w:pPr>
      <w:r w:rsidRPr="003E7869">
        <w:rPr>
          <w:b w:val="0"/>
          <w:sz w:val="28"/>
          <w:szCs w:val="28"/>
        </w:rPr>
        <w:t>Об утверждении Порядка определения территории, части территории муниципального образования Придолинный сельсовет Ташлинского района Оренбургской области, предназначенной для реализации инициативных проектов</w:t>
      </w:r>
    </w:p>
    <w:p w:rsidR="00285C95" w:rsidRDefault="00285C95" w:rsidP="00285C95"/>
    <w:p w:rsidR="00285C95" w:rsidRDefault="00285C95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765FB" w:rsidRPr="00704066" w:rsidRDefault="009E02B4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 xml:space="preserve">, Совет депутатов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704066">
        <w:rPr>
          <w:sz w:val="28"/>
          <w:szCs w:val="28"/>
        </w:rPr>
        <w:t>Решил: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Утвердить Порядок определения территории, части территории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>области</w:t>
      </w:r>
      <w:r w:rsidRPr="00704066">
        <w:rPr>
          <w:sz w:val="28"/>
          <w:szCs w:val="28"/>
        </w:rPr>
        <w:t>, предназначенной для реализации инициативных проектов, согласно приложению.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Обнародовать настоящее решение в местах обнародования и разместить на официальном сайте администрации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</w:t>
      </w:r>
      <w:r w:rsidR="00704066" w:rsidRPr="00704066">
        <w:rPr>
          <w:sz w:val="28"/>
          <w:szCs w:val="28"/>
        </w:rPr>
        <w:tab/>
        <w:t xml:space="preserve">области </w:t>
      </w:r>
      <w:r w:rsidRPr="00704066">
        <w:rPr>
          <w:sz w:val="28"/>
          <w:szCs w:val="28"/>
        </w:rPr>
        <w:t>в информационно-телекоммуникационной сети «Интернет».</w:t>
      </w:r>
    </w:p>
    <w:p w:rsidR="002765FB" w:rsidRPr="00704066" w:rsidRDefault="009E02B4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 w:rsidR="00704066"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704066" w:rsidRPr="00704066" w:rsidRDefault="00704066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</w:p>
    <w:p w:rsidR="002765FB" w:rsidRPr="00704066" w:rsidRDefault="00704066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02B4"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             </w:t>
      </w:r>
      <w:r w:rsidR="003E7869">
        <w:rPr>
          <w:sz w:val="28"/>
          <w:szCs w:val="28"/>
        </w:rPr>
        <w:t>Д.М.Горбунова</w:t>
      </w: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04066" w:rsidRDefault="00704066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2765FB" w:rsidRPr="00704066" w:rsidRDefault="009E02B4" w:rsidP="00C31B07">
      <w:pPr>
        <w:pStyle w:val="12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ab/>
      </w:r>
    </w:p>
    <w:p w:rsidR="002765FB" w:rsidRPr="00704066" w:rsidRDefault="009E02B4" w:rsidP="00C31B07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704066">
        <w:rPr>
          <w:sz w:val="28"/>
          <w:szCs w:val="28"/>
        </w:rPr>
        <w:t xml:space="preserve">Разослано: в </w:t>
      </w:r>
      <w:r w:rsidR="00C86037">
        <w:rPr>
          <w:sz w:val="28"/>
          <w:szCs w:val="28"/>
        </w:rPr>
        <w:t>администрацию</w:t>
      </w:r>
      <w:r w:rsidRPr="00704066">
        <w:rPr>
          <w:sz w:val="28"/>
          <w:szCs w:val="28"/>
        </w:rPr>
        <w:t>, прокурору</w:t>
      </w:r>
      <w:r w:rsidR="00C86037">
        <w:rPr>
          <w:sz w:val="28"/>
          <w:szCs w:val="28"/>
        </w:rPr>
        <w:t>.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p w:rsid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Приложение </w:t>
      </w:r>
    </w:p>
    <w:p w:rsidR="003E7869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к решению Совета депутатов муниципального образования </w:t>
      </w:r>
      <w:r w:rsidR="003E7869">
        <w:rPr>
          <w:sz w:val="28"/>
          <w:szCs w:val="28"/>
        </w:rPr>
        <w:t>Придолинный</w:t>
      </w:r>
      <w:r w:rsidR="00C31B07" w:rsidRPr="00704066">
        <w:rPr>
          <w:sz w:val="28"/>
          <w:szCs w:val="28"/>
        </w:rPr>
        <w:t xml:space="preserve"> </w:t>
      </w:r>
      <w:r w:rsidR="003E7869">
        <w:rPr>
          <w:sz w:val="28"/>
          <w:szCs w:val="28"/>
        </w:rPr>
        <w:t xml:space="preserve">сельсовет Ташлинского района </w:t>
      </w:r>
      <w:r w:rsidR="00C31B07" w:rsidRPr="00704066">
        <w:rPr>
          <w:sz w:val="28"/>
          <w:szCs w:val="28"/>
        </w:rPr>
        <w:t xml:space="preserve">Оренбургской области </w:t>
      </w:r>
    </w:p>
    <w:p w:rsidR="002765FB" w:rsidRPr="00C31B07" w:rsidRDefault="009E02B4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от </w:t>
      </w:r>
      <w:r w:rsidR="00C86037">
        <w:rPr>
          <w:sz w:val="28"/>
          <w:szCs w:val="28"/>
        </w:rPr>
        <w:t>21.06.2021</w:t>
      </w:r>
      <w:r w:rsidRPr="00704066">
        <w:rPr>
          <w:sz w:val="28"/>
          <w:szCs w:val="28"/>
        </w:rPr>
        <w:t xml:space="preserve"> № </w:t>
      </w:r>
      <w:r w:rsidR="003E7869">
        <w:rPr>
          <w:sz w:val="28"/>
          <w:szCs w:val="28"/>
        </w:rPr>
        <w:t>10/31-рс</w:t>
      </w:r>
    </w:p>
    <w:p w:rsidR="00704066" w:rsidRDefault="00704066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31B07" w:rsidRDefault="00C31B07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>Порядок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right="600" w:firstLine="760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 xml:space="preserve">определения территории или части территории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, предназначенной для реализации инициативных проектов</w:t>
      </w:r>
    </w:p>
    <w:p w:rsidR="00C31B07" w:rsidRDefault="00C31B07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bookmarkStart w:id="0" w:name="bookmark1"/>
    </w:p>
    <w:p w:rsidR="002765FB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r w:rsidRPr="00E07EAE">
        <w:rPr>
          <w:sz w:val="28"/>
          <w:szCs w:val="28"/>
        </w:rPr>
        <w:t>1.Общие положения</w:t>
      </w:r>
      <w:bookmarkEnd w:id="0"/>
    </w:p>
    <w:p w:rsidR="00C86037" w:rsidRPr="00E07EAE" w:rsidRDefault="00C86037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Настоящий порядок устанавливает процедуру определения территории или части территории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 xml:space="preserve">(далее - администрация), посредством которого обеспечивается реализация мероприятий, имеющих приоритетное значение для жителей </w:t>
      </w:r>
      <w:r w:rsidR="003E7869">
        <w:rPr>
          <w:sz w:val="28"/>
          <w:szCs w:val="28"/>
        </w:rPr>
        <w:t>муниципального образования 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- инициативный проект).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Территория, на которой могут реализовываться инициативные проекты, устанавливается решением администрации.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органы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товарищества собственников жилья.</w:t>
      </w:r>
    </w:p>
    <w:p w:rsidR="002765FB" w:rsidRPr="00E07EAE" w:rsidRDefault="009E02B4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Инициативные проекты могут реализовываться в границах муниципального образования </w:t>
      </w:r>
      <w:r w:rsidR="003E7869">
        <w:rPr>
          <w:sz w:val="28"/>
          <w:szCs w:val="28"/>
        </w:rPr>
        <w:t>Придолинный</w:t>
      </w:r>
      <w:r w:rsidR="00704066"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 xml:space="preserve"> в пределах следующих территорий проживания граждан: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в границах территорий территориального общественного самоуправления;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группы жилых домов;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жилого микрорайона;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сельского населенного пункта, не являющегося поселением;</w:t>
      </w:r>
    </w:p>
    <w:p w:rsidR="002765FB" w:rsidRPr="00E07EAE" w:rsidRDefault="009E02B4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иных территорий проживания граждан.</w:t>
      </w:r>
      <w:r w:rsidR="00C31B07">
        <w:rPr>
          <w:sz w:val="28"/>
          <w:szCs w:val="28"/>
        </w:rPr>
        <w:br/>
      </w:r>
    </w:p>
    <w:p w:rsidR="002765FB" w:rsidRDefault="009E02B4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  <w:bookmarkStart w:id="1" w:name="bookmark2"/>
      <w:r w:rsidRPr="00E07EAE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  <w:bookmarkEnd w:id="1"/>
    </w:p>
    <w:p w:rsidR="00C86037" w:rsidRPr="00E07EAE" w:rsidRDefault="00C86037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 заявлению инициатор проекта прилагает следующие документы: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краткое описание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Администрация в течение 30 календарных дней со дня поступления заявления принимает решение: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765FB" w:rsidRPr="00E07EAE" w:rsidRDefault="009E02B4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lastRenderedPageBreak/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2765FB" w:rsidRPr="00E07EAE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2765FB" w:rsidRPr="00C31B07" w:rsidRDefault="009E02B4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C31B07" w:rsidRPr="00E07EAE" w:rsidRDefault="00C31B07" w:rsidP="00C31B07">
      <w:pPr>
        <w:pStyle w:val="12"/>
        <w:shd w:val="clear" w:color="auto" w:fill="auto"/>
        <w:tabs>
          <w:tab w:val="left" w:pos="1254"/>
        </w:tabs>
        <w:spacing w:before="0" w:line="240" w:lineRule="auto"/>
        <w:ind w:left="740" w:right="20"/>
        <w:rPr>
          <w:sz w:val="28"/>
          <w:szCs w:val="28"/>
        </w:rPr>
      </w:pPr>
    </w:p>
    <w:p w:rsidR="002765FB" w:rsidRDefault="009E02B4" w:rsidP="00C86037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2840"/>
        <w:rPr>
          <w:sz w:val="28"/>
          <w:szCs w:val="28"/>
        </w:rPr>
      </w:pPr>
      <w:bookmarkStart w:id="2" w:name="bookmark3"/>
      <w:r w:rsidRPr="00E07EAE">
        <w:rPr>
          <w:sz w:val="28"/>
          <w:szCs w:val="28"/>
        </w:rPr>
        <w:t>Заключительные положения</w:t>
      </w:r>
      <w:bookmarkEnd w:id="2"/>
    </w:p>
    <w:p w:rsidR="00C86037" w:rsidRPr="00E07EAE" w:rsidRDefault="00C86037" w:rsidP="00C86037">
      <w:pPr>
        <w:pStyle w:val="23"/>
        <w:keepNext/>
        <w:keepLines/>
        <w:shd w:val="clear" w:color="auto" w:fill="auto"/>
        <w:spacing w:before="0" w:line="240" w:lineRule="auto"/>
        <w:ind w:left="2840"/>
        <w:rPr>
          <w:sz w:val="28"/>
          <w:szCs w:val="28"/>
        </w:rPr>
      </w:pPr>
    </w:p>
    <w:p w:rsidR="002765FB" w:rsidRPr="00E07EAE" w:rsidRDefault="009E02B4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2765FB" w:rsidRPr="00E07EAE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43" w:rsidRDefault="00206C43" w:rsidP="002765FB">
      <w:r>
        <w:separator/>
      </w:r>
    </w:p>
  </w:endnote>
  <w:endnote w:type="continuationSeparator" w:id="1">
    <w:p w:rsidR="00206C43" w:rsidRDefault="00206C43" w:rsidP="002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43" w:rsidRDefault="00206C43"/>
  </w:footnote>
  <w:footnote w:type="continuationSeparator" w:id="1">
    <w:p w:rsidR="00206C43" w:rsidRDefault="00206C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65FB"/>
    <w:rsid w:val="00194A63"/>
    <w:rsid w:val="00206C43"/>
    <w:rsid w:val="002765FB"/>
    <w:rsid w:val="00285C95"/>
    <w:rsid w:val="003E7869"/>
    <w:rsid w:val="00704066"/>
    <w:rsid w:val="007630ED"/>
    <w:rsid w:val="009E02B4"/>
    <w:rsid w:val="00C31B07"/>
    <w:rsid w:val="00C86037"/>
    <w:rsid w:val="00DB0B84"/>
    <w:rsid w:val="00DB2E0B"/>
    <w:rsid w:val="00E07EAE"/>
    <w:rsid w:val="00FB4C36"/>
    <w:rsid w:val="00F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b/>
      <w:bCs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99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99"/>
    <w:qFormat/>
    <w:rsid w:val="00E07EAE"/>
    <w:rPr>
      <w:rFonts w:cs="Calibri"/>
      <w:sz w:val="22"/>
      <w:szCs w:val="22"/>
      <w:lang w:eastAsia="en-US"/>
    </w:rPr>
  </w:style>
  <w:style w:type="paragraph" w:customStyle="1" w:styleId="24">
    <w:name w:val="Обычный2"/>
    <w:uiPriority w:val="99"/>
    <w:rsid w:val="00285C95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buh</cp:lastModifiedBy>
  <cp:revision>8</cp:revision>
  <cp:lastPrinted>2021-06-21T09:13:00Z</cp:lastPrinted>
  <dcterms:created xsi:type="dcterms:W3CDTF">2021-05-31T09:24:00Z</dcterms:created>
  <dcterms:modified xsi:type="dcterms:W3CDTF">2021-06-21T09:13:00Z</dcterms:modified>
</cp:coreProperties>
</file>